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1B" w:rsidRDefault="00322F1B" w:rsidP="00322F1B">
      <w:pPr>
        <w:spacing w:after="120" w:line="240" w:lineRule="auto"/>
        <w:jc w:val="center"/>
        <w:rPr>
          <w:sz w:val="20"/>
          <w:szCs w:val="20"/>
          <w:lang w:val="en-US"/>
        </w:rPr>
      </w:pPr>
      <w:r>
        <w:rPr>
          <w:b/>
          <w:sz w:val="28"/>
          <w:szCs w:val="28"/>
        </w:rPr>
        <w:t xml:space="preserve">Commencing </w:t>
      </w:r>
      <w:r w:rsidRPr="00842B8F">
        <w:rPr>
          <w:b/>
          <w:sz w:val="28"/>
          <w:szCs w:val="28"/>
        </w:rPr>
        <w:t xml:space="preserve">Semester </w:t>
      </w:r>
      <w:r>
        <w:rPr>
          <w:b/>
          <w:sz w:val="28"/>
          <w:szCs w:val="28"/>
        </w:rPr>
        <w:t>1: Version B (concurrent enrolment in MATH1011 &amp; MATH1012)</w:t>
      </w:r>
    </w:p>
    <w:p w:rsidR="00322F1B" w:rsidRDefault="00322F1B" w:rsidP="00322F1B">
      <w:pPr>
        <w:spacing w:after="0" w:line="240" w:lineRule="auto"/>
        <w:rPr>
          <w:sz w:val="20"/>
          <w:szCs w:val="20"/>
          <w:lang w:val="en-US"/>
        </w:rPr>
      </w:pPr>
    </w:p>
    <w:p w:rsidR="00322F1B" w:rsidRPr="005F4057" w:rsidRDefault="00322F1B" w:rsidP="00322F1B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** Offered in Both Semesters</w:t>
      </w:r>
      <w:r w:rsidRPr="00121AC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tbl>
      <w:tblPr>
        <w:tblStyle w:val="TableGrid"/>
        <w:tblW w:w="15120" w:type="dxa"/>
        <w:tblLook w:val="04A0" w:firstRow="1" w:lastRow="0" w:firstColumn="1" w:lastColumn="0" w:noHBand="0" w:noVBand="1"/>
      </w:tblPr>
      <w:tblGrid>
        <w:gridCol w:w="1271"/>
        <w:gridCol w:w="3544"/>
        <w:gridCol w:w="3685"/>
        <w:gridCol w:w="3402"/>
        <w:gridCol w:w="3218"/>
      </w:tblGrid>
      <w:tr w:rsidR="00322F1B" w:rsidTr="00322F1B">
        <w:trPr>
          <w:trHeight w:val="1091"/>
        </w:trPr>
        <w:tc>
          <w:tcPr>
            <w:tcW w:w="1271" w:type="dxa"/>
            <w:vAlign w:val="center"/>
          </w:tcPr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1</w:t>
            </w:r>
          </w:p>
          <w:p w:rsidR="00322F1B" w:rsidRPr="00C026DE" w:rsidRDefault="00322F1B" w:rsidP="00073530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>Semester 1</w:t>
            </w:r>
          </w:p>
        </w:tc>
        <w:tc>
          <w:tcPr>
            <w:tcW w:w="3544" w:type="dxa"/>
            <w:shd w:val="clear" w:color="auto" w:fill="DDD9C3" w:themeFill="background2" w:themeFillShade="E6"/>
            <w:vAlign w:val="center"/>
          </w:tcPr>
          <w:p w:rsidR="00322F1B" w:rsidRPr="00F97AC1" w:rsidRDefault="00322F1B" w:rsidP="00073530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</w:t>
            </w:r>
            <w:r>
              <w:rPr>
                <w:rFonts w:cstheme="minorHAnsi"/>
                <w:b/>
                <w:lang w:eastAsia="en-AU"/>
              </w:rPr>
              <w:t>722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322F1B" w:rsidRPr="00F97AC1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lang w:eastAsia="en-AU"/>
              </w:rPr>
              <w:t>Maths Foundations: Specialist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: Math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Methods </w:t>
            </w:r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ENSC1004</w:t>
            </w:r>
            <w:r w:rsidRPr="00C14416">
              <w:rPr>
                <w:rFonts w:cstheme="minorHAnsi"/>
                <w:lang w:eastAsia="en-AU"/>
              </w:rPr>
              <w:t>**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Materials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Chem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CHEM1003) &amp;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CITS1001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**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Software Engineering with Java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ENSC1003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>**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Intro to Professional Engineering</w:t>
            </w:r>
          </w:p>
        </w:tc>
      </w:tr>
      <w:tr w:rsidR="00322F1B" w:rsidTr="00073530">
        <w:trPr>
          <w:trHeight w:val="109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1</w:t>
            </w:r>
          </w:p>
          <w:p w:rsidR="00322F1B" w:rsidRPr="00C026DE" w:rsidRDefault="00322F1B" w:rsidP="00073530">
            <w:pPr>
              <w:jc w:val="center"/>
              <w:rPr>
                <w:i/>
              </w:rPr>
            </w:pPr>
            <w:r w:rsidRPr="00C026DE">
              <w:rPr>
                <w:i/>
              </w:rPr>
              <w:t>Semester 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F97AC1" w:rsidRDefault="00322F1B" w:rsidP="00073530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MATH1011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322F1B" w:rsidRPr="00F97AC1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lang w:eastAsia="en-AU"/>
              </w:rPr>
              <w:t>Multivariable</w:t>
            </w:r>
            <w:r w:rsidRPr="00F97AC1">
              <w:rPr>
                <w:rFonts w:cstheme="minorHAnsi"/>
                <w:color w:val="000000" w:themeColor="text1"/>
                <w:lang w:eastAsia="en-AU"/>
              </w:rPr>
              <w:t xml:space="preserve"> Calculus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F97AC1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b/>
                <w:color w:val="000000" w:themeColor="text1"/>
                <w:lang w:eastAsia="en-AU"/>
              </w:rPr>
              <w:t>MATH1012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322F1B" w:rsidRPr="00F97AC1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color w:val="000000" w:themeColor="text1"/>
                <w:lang w:eastAsia="en-AU"/>
              </w:rPr>
              <w:t>Mathematical Theory &amp; Methods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CITS2002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Systems Programming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CITS1001 or CITS1401 or CITS2401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</w:rPr>
              <w:t>#</w:t>
            </w:r>
            <w:r w:rsidRPr="00C14416"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  <w:tr w:rsidR="00322F1B" w:rsidRPr="00C64903" w:rsidTr="00073530">
        <w:trPr>
          <w:trHeight w:val="1061"/>
        </w:trPr>
        <w:tc>
          <w:tcPr>
            <w:tcW w:w="1271" w:type="dxa"/>
            <w:vAlign w:val="center"/>
          </w:tcPr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2</w:t>
            </w:r>
          </w:p>
          <w:p w:rsidR="00322F1B" w:rsidRPr="00C026DE" w:rsidRDefault="00322F1B" w:rsidP="00073530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 xml:space="preserve">Semester </w:t>
            </w:r>
            <w:r>
              <w:rPr>
                <w:i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ENSC300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2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Materials &amp; Manufacturing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1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004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CITS2200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Data Structures &amp; Algorithms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An additional programming unit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ENSC2003**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Eng. Electrical Fundamentals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Co-</w:t>
            </w:r>
            <w:proofErr w:type="spellStart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req</w:t>
            </w:r>
            <w:proofErr w:type="spellEnd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: MATH1012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ENSC2004**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Mechanics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ics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</w:tr>
      <w:tr w:rsidR="00322F1B" w:rsidTr="00073530">
        <w:trPr>
          <w:trHeight w:val="106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2</w:t>
            </w:r>
          </w:p>
          <w:p w:rsidR="00322F1B" w:rsidRPr="009A451F" w:rsidRDefault="00322F1B" w:rsidP="00073530">
            <w:pPr>
              <w:jc w:val="center"/>
              <w:rPr>
                <w:i/>
                <w:lang w:val="en-US"/>
              </w:rPr>
            </w:pPr>
            <w:r w:rsidRPr="009A451F">
              <w:rPr>
                <w:i/>
                <w:lang w:val="en-US"/>
              </w:rPr>
              <w:t>Semester 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864EA4" w:rsidRDefault="00322F1B" w:rsidP="0007353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b/>
                <w:color w:val="000000" w:themeColor="text1"/>
                <w:lang w:eastAsia="en-AU"/>
              </w:rPr>
              <w:t xml:space="preserve">ENSC3001 </w:t>
            </w:r>
          </w:p>
          <w:p w:rsidR="00322F1B" w:rsidRPr="00864EA4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color w:val="000000" w:themeColor="text1"/>
                <w:lang w:eastAsia="en-AU"/>
              </w:rPr>
              <w:t>Mechanisms and Machines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(CITS1001 or CITS2401), ENSC2004, &amp; MATH1011</w:t>
            </w:r>
            <w:r w:rsidRPr="00864EA4">
              <w:rPr>
                <w:rFonts w:cstheme="minorHAnsi"/>
                <w:b/>
                <w:i/>
                <w:sz w:val="16"/>
                <w:lang w:eastAsia="en-AU"/>
              </w:rPr>
              <w:t xml:space="preserve">  APS: PHYS1001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ENSC3020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Digital Embedded Systems</w:t>
            </w:r>
          </w:p>
          <w:p w:rsidR="00322F1B" w:rsidRPr="00C309C8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 or CITS2401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ENSC3016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Power and Machines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 w:rsidRPr="00C14416">
              <w:rPr>
                <w:rFonts w:cstheme="minorHAnsi"/>
              </w:rPr>
              <w:t xml:space="preserve"> 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ENSC2003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MATH1012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;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APS: </w:t>
            </w:r>
            <w:r w:rsidRPr="00A962B4">
              <w:rPr>
                <w:rFonts w:cstheme="minorHAnsi"/>
                <w:b/>
                <w:i/>
                <w:sz w:val="16"/>
                <w:lang w:eastAsia="en-AU"/>
              </w:rPr>
              <w:t>PHYS1001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2F1B" w:rsidRPr="00110EC7" w:rsidRDefault="00322F1B" w:rsidP="00073530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</w:rPr>
              <w:t>#</w:t>
            </w:r>
            <w:r w:rsidRPr="00110EC7"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  <w:tr w:rsidR="00322F1B" w:rsidTr="00073530">
        <w:trPr>
          <w:trHeight w:val="1178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3</w:t>
            </w:r>
          </w:p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 xml:space="preserve">Semester </w:t>
            </w:r>
            <w:r>
              <w:rPr>
                <w:i/>
                <w:lang w:val="en-US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</w:rPr>
            </w:pPr>
            <w:r w:rsidRPr="00C14416">
              <w:rPr>
                <w:rFonts w:cstheme="minorHAnsi"/>
                <w:b/>
              </w:rPr>
              <w:t>GENG3</w:t>
            </w:r>
            <w:r>
              <w:rPr>
                <w:rFonts w:cstheme="minorHAnsi"/>
                <w:b/>
              </w:rPr>
              <w:t>002</w:t>
            </w:r>
            <w:r w:rsidRPr="00C14416">
              <w:rPr>
                <w:rFonts w:cstheme="minorHAnsi"/>
                <w:b/>
              </w:rPr>
              <w:t xml:space="preserve"> </w:t>
            </w:r>
          </w:p>
          <w:p w:rsidR="00322F1B" w:rsidRDefault="00322F1B" w:rsidP="00073530">
            <w:pPr>
              <w:jc w:val="center"/>
              <w:rPr>
                <w:rFonts w:cstheme="minorHAnsi"/>
              </w:rPr>
            </w:pPr>
            <w:r w:rsidRPr="00C14416">
              <w:rPr>
                <w:rFonts w:cstheme="minorHAnsi"/>
              </w:rPr>
              <w:t>Mechatronics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CITS2200, ENSC3001 &amp; ENSC3020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ENSC3021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Circuits and Electronics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ENSC2003 &amp; MATH1011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GENG4</w:t>
            </w:r>
            <w:r>
              <w:rPr>
                <w:rFonts w:cstheme="minorHAnsi"/>
                <w:b/>
                <w:color w:val="000000" w:themeColor="text1"/>
              </w:rPr>
              <w:t>404</w:t>
            </w:r>
            <w:r w:rsidRPr="00C14416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322F1B" w:rsidRPr="00110EC7" w:rsidRDefault="00322F1B" w:rsidP="00073530">
            <w:pPr>
              <w:jc w:val="center"/>
              <w:rPr>
                <w:rFonts w:cstheme="minorHAnsi"/>
                <w:color w:val="000000" w:themeColor="text1"/>
              </w:rPr>
            </w:pPr>
            <w:r w:rsidRPr="00110EC7">
              <w:rPr>
                <w:rFonts w:cstheme="minorHAnsi"/>
                <w:color w:val="000000" w:themeColor="text1"/>
              </w:rPr>
              <w:t>Automation &amp; Control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 ENSC2003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2F1B" w:rsidRPr="00110EC7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#</w:t>
            </w:r>
            <w:r w:rsidRPr="00110EC7"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  <w:tr w:rsidR="00322F1B" w:rsidTr="00073530">
        <w:trPr>
          <w:trHeight w:val="982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Default="00322F1B" w:rsidP="00073530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Year 3</w:t>
            </w:r>
          </w:p>
          <w:p w:rsidR="00322F1B" w:rsidRPr="00C026DE" w:rsidRDefault="00322F1B" w:rsidP="00073530">
            <w:pPr>
              <w:jc w:val="center"/>
              <w:rPr>
                <w:i/>
                <w:lang w:val="en-US"/>
              </w:rPr>
            </w:pPr>
            <w:r w:rsidRPr="00C026DE">
              <w:rPr>
                <w:i/>
                <w:lang w:val="en-US"/>
              </w:rPr>
              <w:t xml:space="preserve">Semester </w:t>
            </w:r>
            <w:r>
              <w:rPr>
                <w:i/>
                <w:lang w:val="en-US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977765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7765">
              <w:rPr>
                <w:rFonts w:cstheme="minorHAnsi"/>
                <w:b/>
                <w:color w:val="000000" w:themeColor="text1"/>
              </w:rPr>
              <w:t>MECH4424</w:t>
            </w:r>
          </w:p>
          <w:p w:rsidR="00322F1B" w:rsidRPr="00977765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lang w:eastAsia="en-AU"/>
              </w:rPr>
            </w:pPr>
            <w:r w:rsidRPr="00977765">
              <w:rPr>
                <w:rFonts w:cstheme="minorHAnsi"/>
                <w:color w:val="000000" w:themeColor="text1"/>
              </w:rPr>
              <w:t>Measurement and Noise</w:t>
            </w:r>
            <w:r w:rsidRPr="00977765">
              <w:rPr>
                <w:rFonts w:cstheme="minorHAnsi"/>
                <w:b/>
                <w:i/>
                <w:color w:val="000000" w:themeColor="text1"/>
                <w:lang w:eastAsia="en-AU"/>
              </w:rPr>
              <w:t xml:space="preserve"> 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ENSC3001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C14416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GENG5508</w:t>
            </w:r>
          </w:p>
          <w:p w:rsidR="00322F1B" w:rsidRDefault="00322F1B" w:rsidP="00073530">
            <w:pPr>
              <w:jc w:val="center"/>
              <w:rPr>
                <w:rFonts w:cstheme="minorHAnsi"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</w:rPr>
              <w:t>Robotics</w:t>
            </w:r>
          </w:p>
          <w:p w:rsidR="00322F1B" w:rsidRDefault="00322F1B" w:rsidP="00073530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322F1B" w:rsidRPr="00C14416" w:rsidRDefault="00322F1B" w:rsidP="0007353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F1B" w:rsidRPr="00110EC7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110EC7"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2F1B" w:rsidRPr="00110EC7" w:rsidRDefault="00322F1B" w:rsidP="0007353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#</w:t>
            </w:r>
            <w:r w:rsidRPr="00110EC7"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</w:tbl>
    <w:p w:rsidR="00322F1B" w:rsidRDefault="00322F1B" w:rsidP="00A059F9">
      <w:pPr>
        <w:spacing w:after="0"/>
        <w:rPr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A059F9" w:rsidRPr="006F6D74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Note</w:t>
      </w:r>
      <w:r w:rsidR="00A059F9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="00A059F9" w:rsidRPr="006F6D74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A059F9">
        <w:rPr>
          <w:rFonts w:cstheme="minorHAnsi"/>
          <w:b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# </w:t>
      </w:r>
      <w:r w:rsidR="00A059F9" w:rsidRPr="006F6D74">
        <w:rPr>
          <w:rFonts w:cstheme="minorHAnsi"/>
          <w:color w:val="000000" w:themeColor="text1"/>
        </w:rPr>
        <w:t>Students intending to progress into the Master of Professional Engineering (Electrical, Mechanical or Software Engineering) should refer to the Electrical Systems</w:t>
      </w:r>
      <w:r w:rsidR="00A059F9">
        <w:rPr>
          <w:rFonts w:cstheme="minorHAnsi"/>
          <w:color w:val="000000" w:themeColor="text1"/>
        </w:rPr>
        <w:t xml:space="preserve"> stream</w:t>
      </w:r>
      <w:r w:rsidR="00A059F9" w:rsidRPr="006F6D74">
        <w:rPr>
          <w:rFonts w:cstheme="minorHAnsi"/>
          <w:color w:val="000000" w:themeColor="text1"/>
        </w:rPr>
        <w:t xml:space="preserve">, Mechanical Systems </w:t>
      </w:r>
      <w:r w:rsidR="00A059F9">
        <w:rPr>
          <w:rFonts w:cstheme="minorHAnsi"/>
          <w:color w:val="000000" w:themeColor="text1"/>
        </w:rPr>
        <w:t xml:space="preserve">stream </w:t>
      </w:r>
      <w:r w:rsidR="00A059F9" w:rsidRPr="006F6D74">
        <w:rPr>
          <w:rFonts w:cstheme="minorHAnsi"/>
          <w:color w:val="000000" w:themeColor="text1"/>
        </w:rPr>
        <w:t xml:space="preserve">and Software Systems </w:t>
      </w:r>
      <w:r w:rsidR="00A059F9">
        <w:rPr>
          <w:rFonts w:cstheme="minorHAnsi"/>
          <w:color w:val="000000" w:themeColor="text1"/>
        </w:rPr>
        <w:t xml:space="preserve">stream </w:t>
      </w:r>
      <w:r w:rsidR="00C210D0">
        <w:rPr>
          <w:rFonts w:cstheme="minorHAnsi"/>
          <w:color w:val="000000" w:themeColor="text1"/>
        </w:rPr>
        <w:t xml:space="preserve">course study plan </w:t>
      </w:r>
      <w:bookmarkStart w:id="0" w:name="_GoBack"/>
      <w:bookmarkEnd w:id="0"/>
      <w:r w:rsidR="00A059F9" w:rsidRPr="00A059F9">
        <w:rPr>
          <w:rFonts w:cstheme="minorHAnsi"/>
          <w:color w:val="000000" w:themeColor="text1"/>
        </w:rPr>
        <w:t>(students take 1</w:t>
      </w:r>
      <w:r w:rsidR="00A059F9">
        <w:rPr>
          <w:rFonts w:cstheme="minorHAnsi"/>
          <w:color w:val="000000" w:themeColor="text1"/>
        </w:rPr>
        <w:t>8</w:t>
      </w:r>
      <w:r w:rsidR="00A059F9" w:rsidRPr="00A059F9">
        <w:rPr>
          <w:rFonts w:cstheme="minorHAnsi"/>
          <w:color w:val="000000" w:themeColor="text1"/>
        </w:rPr>
        <w:t xml:space="preserve"> -</w:t>
      </w:r>
      <w:r w:rsidR="00A059F9">
        <w:rPr>
          <w:rFonts w:cstheme="minorHAnsi"/>
          <w:color w:val="000000" w:themeColor="text1"/>
        </w:rPr>
        <w:t>24</w:t>
      </w:r>
      <w:r w:rsidR="00A059F9" w:rsidRPr="00A059F9">
        <w:rPr>
          <w:rFonts w:cstheme="minorHAnsi"/>
          <w:color w:val="000000" w:themeColor="text1"/>
        </w:rPr>
        <w:t xml:space="preserve"> pts of stream units in place of elective units; remaining unit</w:t>
      </w:r>
      <w:r w:rsidR="00A059F9">
        <w:rPr>
          <w:rFonts w:cstheme="minorHAnsi"/>
          <w:color w:val="000000" w:themeColor="text1"/>
        </w:rPr>
        <w:t>(</w:t>
      </w:r>
      <w:r w:rsidR="00A059F9" w:rsidRPr="00A059F9">
        <w:rPr>
          <w:rFonts w:cstheme="minorHAnsi"/>
          <w:color w:val="000000" w:themeColor="text1"/>
        </w:rPr>
        <w:t>s</w:t>
      </w:r>
      <w:r w:rsidR="00A059F9">
        <w:rPr>
          <w:rFonts w:cstheme="minorHAnsi"/>
          <w:color w:val="000000" w:themeColor="text1"/>
        </w:rPr>
        <w:t>)</w:t>
      </w:r>
      <w:r w:rsidR="00A059F9" w:rsidRPr="00A059F9">
        <w:rPr>
          <w:rFonts w:cstheme="minorHAnsi"/>
          <w:color w:val="000000" w:themeColor="text1"/>
        </w:rPr>
        <w:t xml:space="preserve"> to be taken in MPE).</w:t>
      </w:r>
      <w:r w:rsidR="00A059F9">
        <w:rPr>
          <w:rFonts w:cstheme="minorHAnsi"/>
          <w:color w:val="000000" w:themeColor="text1"/>
        </w:rPr>
        <w:t xml:space="preserve">  Alternatively, electives may be used to complete a minor, noting that any four units taken outside the double major in Automation and Robotics meets broadening requirements.</w:t>
      </w:r>
    </w:p>
    <w:p w:rsidR="00A059F9" w:rsidRDefault="00322F1B" w:rsidP="00322F1B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/>
      </w:r>
      <w:r w:rsidR="00A059F9">
        <w:rPr>
          <w:rFonts w:cstheme="minorHAnsi"/>
          <w:b/>
          <w:color w:val="000000" w:themeColor="text1"/>
          <w:sz w:val="24"/>
          <w:szCs w:val="24"/>
        </w:rPr>
        <w:t xml:space="preserve">VERSION B:  </w:t>
      </w:r>
      <w:r w:rsidRPr="00CF681F">
        <w:rPr>
          <w:rFonts w:cstheme="minorHAnsi"/>
          <w:b/>
          <w:color w:val="000000" w:themeColor="text1"/>
          <w:sz w:val="24"/>
          <w:szCs w:val="24"/>
        </w:rPr>
        <w:t xml:space="preserve">For students who commence studies in Semester 1 </w:t>
      </w:r>
      <w:r w:rsidR="00A1011D" w:rsidRPr="00CF681F">
        <w:rPr>
          <w:rFonts w:cstheme="minorHAnsi"/>
          <w:b/>
          <w:color w:val="000000" w:themeColor="text1"/>
          <w:sz w:val="24"/>
          <w:szCs w:val="24"/>
        </w:rPr>
        <w:t>and who are missing Maths Specialist ATAR</w:t>
      </w:r>
      <w:r w:rsidR="00A1011D">
        <w:rPr>
          <w:rFonts w:cstheme="minorHAnsi"/>
          <w:b/>
          <w:color w:val="000000" w:themeColor="text1"/>
          <w:sz w:val="24"/>
          <w:szCs w:val="24"/>
        </w:rPr>
        <w:t xml:space="preserve"> and who intend to progress into the MPE (with a concurrent enrolment in MATH1011 &amp; MATH1012)</w:t>
      </w:r>
      <w:r w:rsidR="00A1011D">
        <w:rPr>
          <w:rFonts w:cstheme="minorHAnsi"/>
          <w:b/>
          <w:color w:val="000000" w:themeColor="text1"/>
          <w:sz w:val="24"/>
          <w:szCs w:val="24"/>
        </w:rPr>
        <w:br/>
      </w: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A059F9" w:rsidRPr="00923CF5" w:rsidTr="00073530">
        <w:trPr>
          <w:trHeight w:val="454"/>
          <w:jc w:val="center"/>
        </w:trPr>
        <w:tc>
          <w:tcPr>
            <w:tcW w:w="14742" w:type="dxa"/>
            <w:gridSpan w:val="2"/>
            <w:shd w:val="clear" w:color="auto" w:fill="D6E3BC" w:themeFill="accent3" w:themeFillTint="66"/>
            <w:vAlign w:val="center"/>
          </w:tcPr>
          <w:p w:rsidR="00A059F9" w:rsidRPr="00570898" w:rsidRDefault="00A059F9" w:rsidP="00073530">
            <w:pPr>
              <w:rPr>
                <w:rFonts w:cstheme="minorHAnsi"/>
              </w:rPr>
            </w:pPr>
            <w:r w:rsidRPr="00570898">
              <w:rPr>
                <w:rFonts w:cstheme="minorHAnsi"/>
                <w:b/>
              </w:rPr>
              <w:t xml:space="preserve">Electrical Systems Stream:  </w:t>
            </w:r>
            <w:r w:rsidRPr="00570898">
              <w:rPr>
                <w:rFonts w:cstheme="minorHAnsi"/>
                <w:i/>
              </w:rPr>
              <w:t xml:space="preserve">Students intending to progress into the Master of Professional Engineering (Electrical and Electronic) take </w:t>
            </w:r>
            <w:r>
              <w:rPr>
                <w:rFonts w:cstheme="minorHAnsi"/>
                <w:i/>
              </w:rPr>
              <w:t>2</w:t>
            </w:r>
            <w:r w:rsidRPr="00570898">
              <w:rPr>
                <w:rFonts w:cstheme="minorHAnsi"/>
                <w:i/>
              </w:rPr>
              <w:t>4</w:t>
            </w:r>
            <w:r>
              <w:rPr>
                <w:rFonts w:cstheme="minorHAnsi"/>
                <w:i/>
              </w:rPr>
              <w:t xml:space="preserve"> pts</w:t>
            </w:r>
            <w:r w:rsidRPr="00570898">
              <w:rPr>
                <w:rFonts w:cstheme="minorHAnsi"/>
                <w:i/>
              </w:rPr>
              <w:t>:</w:t>
            </w:r>
          </w:p>
        </w:tc>
      </w:tr>
      <w:tr w:rsidR="00A059F9" w:rsidRPr="00652EAC" w:rsidTr="00073530">
        <w:trPr>
          <w:trHeight w:val="6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A059F9" w:rsidRPr="00570898" w:rsidRDefault="00A059F9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color w:val="000000" w:themeColor="text1"/>
              </w:rPr>
              <w:t>ENSC3014 Electronic Materials and Devices (S1)</w:t>
            </w:r>
          </w:p>
          <w:p w:rsidR="00A059F9" w:rsidRPr="00570898" w:rsidRDefault="00A059F9" w:rsidP="00073530">
            <w:pPr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 xml:space="preserve">: </w:t>
            </w:r>
            <w:r w:rsidRPr="00570898">
              <w:rPr>
                <w:rFonts w:cstheme="minorHAnsi"/>
                <w:i/>
                <w:sz w:val="18"/>
                <w:szCs w:val="18"/>
              </w:rPr>
              <w:t>ENSC2003, MATH1012 &amp; PHYS1001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059F9" w:rsidRPr="00570898" w:rsidRDefault="00A059F9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color w:val="000000" w:themeColor="text1"/>
              </w:rPr>
              <w:t>MATH3023 Advanced Mathematics Applications (S2)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570898">
              <w:rPr>
                <w:i/>
                <w:sz w:val="18"/>
                <w:szCs w:val="18"/>
                <w:lang w:eastAsia="en-AU"/>
              </w:rPr>
              <w:t xml:space="preserve">MATH1011;  </w:t>
            </w:r>
            <w:proofErr w:type="spellStart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>Coreq</w:t>
            </w:r>
            <w:proofErr w:type="spellEnd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70898">
              <w:rPr>
                <w:i/>
                <w:sz w:val="18"/>
                <w:szCs w:val="18"/>
                <w:lang w:eastAsia="en-AU"/>
              </w:rPr>
              <w:t>MATH1012</w:t>
            </w:r>
          </w:p>
        </w:tc>
      </w:tr>
      <w:tr w:rsidR="00A059F9" w:rsidRPr="00652EAC" w:rsidTr="00073530">
        <w:trPr>
          <w:trHeight w:val="578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A059F9" w:rsidRPr="00570898" w:rsidRDefault="00A059F9" w:rsidP="00073530">
            <w:pPr>
              <w:rPr>
                <w:rFonts w:cstheme="minorHAnsi"/>
                <w:color w:val="000000" w:themeColor="text1"/>
              </w:rPr>
            </w:pPr>
            <w:r w:rsidRPr="00570898">
              <w:rPr>
                <w:rFonts w:cstheme="minorHAnsi"/>
                <w:color w:val="000000" w:themeColor="text1"/>
              </w:rPr>
              <w:t>ENSC3015 Signals &amp; Systems (S2)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>
              <w:t xml:space="preserve"> </w:t>
            </w:r>
            <w:r w:rsidRPr="00570898">
              <w:rPr>
                <w:rFonts w:cstheme="minorHAnsi"/>
                <w:i/>
                <w:sz w:val="18"/>
                <w:szCs w:val="18"/>
              </w:rPr>
              <w:t>(CITS1001), ENSC2003 &amp; MATH1012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059F9" w:rsidRPr="00570898" w:rsidRDefault="00A059F9" w:rsidP="00073530">
            <w:pPr>
              <w:rPr>
                <w:rFonts w:cstheme="minorHAnsi"/>
              </w:rPr>
            </w:pPr>
            <w:r w:rsidRPr="00570898">
              <w:rPr>
                <w:rFonts w:cstheme="minorHAnsi"/>
                <w:color w:val="000000" w:themeColor="text1"/>
              </w:rPr>
              <w:t>PHYS1001 Physics for Scientists and Engineers (S1,S2)</w:t>
            </w:r>
            <w:r w:rsidRPr="00570898">
              <w:rPr>
                <w:rFonts w:cstheme="minorHAnsi"/>
                <w:color w:val="000000" w:themeColor="text1"/>
              </w:rPr>
              <w:br/>
            </w: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570898">
              <w:rPr>
                <w:i/>
                <w:color w:val="000000" w:themeColor="text1"/>
                <w:sz w:val="18"/>
                <w:szCs w:val="18"/>
                <w:lang w:eastAsia="en-AU"/>
              </w:rPr>
              <w:t>(Physics ATAR or PHYS1030) &amp; (Math Specialist ATAR or MATH1722)</w:t>
            </w:r>
          </w:p>
        </w:tc>
      </w:tr>
    </w:tbl>
    <w:p w:rsidR="00A059F9" w:rsidRDefault="00A059F9" w:rsidP="00A059F9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059F9" w:rsidRDefault="00A059F9" w:rsidP="00A059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A059F9" w:rsidRPr="00923CF5" w:rsidTr="00073530">
        <w:trPr>
          <w:trHeight w:val="454"/>
          <w:jc w:val="center"/>
        </w:trPr>
        <w:tc>
          <w:tcPr>
            <w:tcW w:w="14742" w:type="dxa"/>
            <w:gridSpan w:val="2"/>
            <w:shd w:val="clear" w:color="auto" w:fill="D6E3BC" w:themeFill="accent3" w:themeFillTint="66"/>
            <w:vAlign w:val="center"/>
          </w:tcPr>
          <w:p w:rsidR="00A059F9" w:rsidRDefault="00A059F9" w:rsidP="00A059F9">
            <w:pPr>
              <w:rPr>
                <w:rFonts w:cstheme="minorHAnsi"/>
                <w:i/>
              </w:rPr>
            </w:pPr>
            <w:r w:rsidRPr="00570898">
              <w:rPr>
                <w:rFonts w:cstheme="minorHAnsi"/>
                <w:b/>
              </w:rPr>
              <w:t xml:space="preserve">Mechanical Systems Stream:  </w:t>
            </w:r>
            <w:r w:rsidRPr="00570898">
              <w:rPr>
                <w:rFonts w:cstheme="minorHAnsi"/>
                <w:i/>
              </w:rPr>
              <w:t xml:space="preserve">Students intending to progress into the Master of Professional Engineering (Mechanical) take </w:t>
            </w:r>
            <w:r>
              <w:rPr>
                <w:rFonts w:cstheme="minorHAnsi"/>
                <w:i/>
              </w:rPr>
              <w:t>three out of four units (18 pts)</w:t>
            </w:r>
            <w:r w:rsidRPr="00570898">
              <w:rPr>
                <w:rFonts w:cstheme="minorHAnsi"/>
                <w:i/>
              </w:rPr>
              <w:t>:</w:t>
            </w:r>
          </w:p>
          <w:p w:rsidR="00A059F9" w:rsidRPr="001548BF" w:rsidRDefault="00A059F9" w:rsidP="00A059F9">
            <w:pPr>
              <w:rPr>
                <w:rFonts w:cstheme="minorHAnsi"/>
                <w:i/>
              </w:rPr>
            </w:pPr>
            <w:r w:rsidRPr="001548BF">
              <w:rPr>
                <w:rFonts w:cstheme="minorHAnsi"/>
                <w:b/>
                <w:i/>
              </w:rPr>
              <w:t>Note:</w:t>
            </w:r>
            <w:r w:rsidRPr="001548BF">
              <w:rPr>
                <w:rFonts w:cstheme="minorHAnsi"/>
                <w:i/>
              </w:rPr>
              <w:t xml:space="preserve"> The fourth unit to be taken within the MPE as a conversion unit.</w:t>
            </w:r>
          </w:p>
        </w:tc>
      </w:tr>
      <w:tr w:rsidR="00A059F9" w:rsidRPr="00652EAC" w:rsidTr="00073530">
        <w:trPr>
          <w:trHeight w:val="6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A059F9" w:rsidRPr="00943D3E" w:rsidRDefault="00A059F9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ENSC3003 Fluid Mechanics (S1)</w:t>
            </w:r>
          </w:p>
          <w:p w:rsidR="00A059F9" w:rsidRPr="00570898" w:rsidRDefault="00A059F9" w:rsidP="00073530">
            <w:pPr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 xml:space="preserve">: </w:t>
            </w:r>
            <w:r w:rsidRPr="00570898">
              <w:rPr>
                <w:rFonts w:cstheme="minorHAnsi"/>
                <w:i/>
                <w:sz w:val="18"/>
                <w:szCs w:val="18"/>
              </w:rPr>
              <w:t>ENSC2004 &amp; MATH1012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059F9" w:rsidRPr="00943D3E" w:rsidRDefault="00A059F9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ENSC3024 Engineering Thermodynamics (S2)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 xml:space="preserve">: CITS1001, ENSC2004, MATH1011 &amp; (PHYS1030 or Physics ATAR);  </w:t>
            </w:r>
            <w:r w:rsidRPr="00570898">
              <w:rPr>
                <w:rFonts w:cstheme="minorHAnsi"/>
                <w:b/>
                <w:i/>
                <w:sz w:val="18"/>
                <w:szCs w:val="18"/>
              </w:rPr>
              <w:t>APS:</w:t>
            </w:r>
            <w:r w:rsidRPr="00570898">
              <w:rPr>
                <w:rFonts w:cstheme="minorHAnsi"/>
                <w:i/>
                <w:sz w:val="18"/>
                <w:szCs w:val="18"/>
              </w:rPr>
              <w:t xml:space="preserve"> PHYS1001</w:t>
            </w:r>
          </w:p>
        </w:tc>
      </w:tr>
      <w:tr w:rsidR="00A059F9" w:rsidRPr="00652EAC" w:rsidTr="00073530">
        <w:trPr>
          <w:trHeight w:val="578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A059F9" w:rsidRPr="00943D3E" w:rsidRDefault="00A059F9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ENSC3004 Solid Mechanics (S1)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 w:rsidRPr="00570898">
              <w:rPr>
                <w:rFonts w:cstheme="minorHAnsi"/>
                <w:i/>
                <w:sz w:val="18"/>
                <w:szCs w:val="18"/>
              </w:rPr>
              <w:t xml:space="preserve"> ENSC2004, MATH1011 &amp; MATH1012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059F9" w:rsidRPr="00943D3E" w:rsidRDefault="00A059F9" w:rsidP="00073530">
            <w:pPr>
              <w:rPr>
                <w:rFonts w:cstheme="minorHAnsi"/>
                <w:color w:val="000000" w:themeColor="text1"/>
              </w:rPr>
            </w:pPr>
            <w:r w:rsidRPr="00943D3E">
              <w:rPr>
                <w:rFonts w:cstheme="minorHAnsi"/>
                <w:color w:val="000000" w:themeColor="text1"/>
              </w:rPr>
              <w:t>MATH3023 Advanced Mathematics Applications (S2)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570898">
              <w:rPr>
                <w:i/>
                <w:sz w:val="18"/>
                <w:szCs w:val="18"/>
                <w:lang w:eastAsia="en-AU"/>
              </w:rPr>
              <w:t xml:space="preserve">MATH1011;  </w:t>
            </w:r>
            <w:proofErr w:type="spellStart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>Coreq</w:t>
            </w:r>
            <w:proofErr w:type="spellEnd"/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570898">
              <w:rPr>
                <w:i/>
                <w:sz w:val="18"/>
                <w:szCs w:val="18"/>
                <w:lang w:eastAsia="en-AU"/>
              </w:rPr>
              <w:t>MATH1012</w:t>
            </w:r>
          </w:p>
        </w:tc>
      </w:tr>
    </w:tbl>
    <w:p w:rsidR="00A059F9" w:rsidRDefault="00A059F9" w:rsidP="00A059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059F9" w:rsidRDefault="00A059F9" w:rsidP="00A059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7371"/>
        <w:gridCol w:w="7371"/>
      </w:tblGrid>
      <w:tr w:rsidR="00A059F9" w:rsidRPr="00923CF5" w:rsidTr="00073530">
        <w:trPr>
          <w:trHeight w:val="454"/>
          <w:jc w:val="center"/>
        </w:trPr>
        <w:tc>
          <w:tcPr>
            <w:tcW w:w="14742" w:type="dxa"/>
            <w:gridSpan w:val="2"/>
            <w:shd w:val="clear" w:color="auto" w:fill="D6E3BC" w:themeFill="accent3" w:themeFillTint="66"/>
            <w:vAlign w:val="center"/>
          </w:tcPr>
          <w:p w:rsidR="00A059F9" w:rsidRDefault="00A059F9" w:rsidP="00A059F9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Software</w:t>
            </w:r>
            <w:r w:rsidRPr="00570898">
              <w:rPr>
                <w:rFonts w:cstheme="minorHAnsi"/>
                <w:b/>
              </w:rPr>
              <w:t xml:space="preserve"> Systems Stream:  </w:t>
            </w:r>
            <w:r w:rsidRPr="00570898">
              <w:rPr>
                <w:rFonts w:cstheme="minorHAnsi"/>
                <w:i/>
              </w:rPr>
              <w:t>Students intending to progress into the Master of Professional Engineering (</w:t>
            </w:r>
            <w:r>
              <w:rPr>
                <w:rFonts w:cstheme="minorHAnsi"/>
                <w:i/>
              </w:rPr>
              <w:t>Software</w:t>
            </w:r>
            <w:r w:rsidRPr="00570898">
              <w:rPr>
                <w:rFonts w:cstheme="minorHAnsi"/>
                <w:i/>
              </w:rPr>
              <w:t xml:space="preserve">) take </w:t>
            </w:r>
            <w:r>
              <w:rPr>
                <w:rFonts w:cstheme="minorHAnsi"/>
                <w:i/>
              </w:rPr>
              <w:t>three out of four units (18 pts)</w:t>
            </w:r>
            <w:r w:rsidRPr="00570898">
              <w:rPr>
                <w:rFonts w:cstheme="minorHAnsi"/>
                <w:i/>
              </w:rPr>
              <w:t>:</w:t>
            </w:r>
          </w:p>
          <w:p w:rsidR="00A059F9" w:rsidRPr="001548BF" w:rsidRDefault="00A059F9" w:rsidP="00A059F9">
            <w:pPr>
              <w:rPr>
                <w:rFonts w:cstheme="minorHAnsi"/>
                <w:i/>
              </w:rPr>
            </w:pPr>
            <w:r w:rsidRPr="001548BF">
              <w:rPr>
                <w:rFonts w:cstheme="minorHAnsi"/>
                <w:b/>
                <w:i/>
              </w:rPr>
              <w:t>Note:</w:t>
            </w:r>
            <w:r w:rsidRPr="001548BF">
              <w:rPr>
                <w:rFonts w:cstheme="minorHAnsi"/>
                <w:i/>
              </w:rPr>
              <w:t xml:space="preserve"> The fourth unit to be taken within the MPE as a conversion unit.</w:t>
            </w:r>
          </w:p>
        </w:tc>
      </w:tr>
      <w:tr w:rsidR="00A059F9" w:rsidRPr="00652EAC" w:rsidTr="00073530">
        <w:trPr>
          <w:trHeight w:val="654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A059F9" w:rsidRPr="00570898" w:rsidRDefault="00A059F9" w:rsidP="00073530">
            <w:pPr>
              <w:rPr>
                <w:rFonts w:cstheme="minorHAnsi"/>
                <w:i/>
                <w:sz w:val="18"/>
                <w:szCs w:val="18"/>
              </w:rPr>
            </w:pPr>
            <w:r w:rsidRPr="0019782E">
              <w:rPr>
                <w:rFonts w:cstheme="minorHAnsi"/>
                <w:color w:val="000000" w:themeColor="text1"/>
              </w:rPr>
              <w:t>CITS3001 Algorithms, Agents and Artificial Intelligence (S2)</w:t>
            </w:r>
            <w:r>
              <w:rPr>
                <w:rFonts w:cstheme="minorHAnsi"/>
                <w:color w:val="000000" w:themeColor="text1"/>
              </w:rPr>
              <w:br/>
            </w: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19782E">
              <w:rPr>
                <w:rFonts w:cstheme="minorHAnsi"/>
                <w:i/>
                <w:sz w:val="18"/>
                <w:szCs w:val="18"/>
              </w:rPr>
              <w:t xml:space="preserve"> CITS2200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059F9" w:rsidRDefault="00A059F9" w:rsidP="00073530">
            <w:pPr>
              <w:rPr>
                <w:rFonts w:cstheme="minorHAnsi"/>
                <w:color w:val="000000" w:themeColor="text1"/>
              </w:rPr>
            </w:pPr>
            <w:r w:rsidRPr="0019782E">
              <w:rPr>
                <w:rFonts w:cstheme="minorHAnsi"/>
                <w:color w:val="000000" w:themeColor="text1"/>
              </w:rPr>
              <w:t>CITS3004 Cybersecurity (S2)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 xml:space="preserve">: </w:t>
            </w:r>
            <w:r w:rsidRPr="0019782E">
              <w:rPr>
                <w:rFonts w:cstheme="minorHAnsi"/>
                <w:i/>
                <w:sz w:val="18"/>
                <w:szCs w:val="18"/>
              </w:rPr>
              <w:t>Completion of 12 pts from: CITS1001, CITS2002, CITS2200 or CITS2401</w:t>
            </w:r>
          </w:p>
        </w:tc>
      </w:tr>
      <w:tr w:rsidR="00A059F9" w:rsidRPr="00652EAC" w:rsidTr="00073530">
        <w:trPr>
          <w:trHeight w:val="578"/>
          <w:jc w:val="center"/>
        </w:trPr>
        <w:tc>
          <w:tcPr>
            <w:tcW w:w="7371" w:type="dxa"/>
            <w:shd w:val="clear" w:color="auto" w:fill="FFFFFF" w:themeFill="background1"/>
            <w:vAlign w:val="center"/>
          </w:tcPr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r w:rsidRPr="0019782E">
              <w:rPr>
                <w:rFonts w:cstheme="minorHAnsi"/>
                <w:color w:val="000000" w:themeColor="text1"/>
              </w:rPr>
              <w:t>CITS3002 Computer Networks (S1)</w:t>
            </w:r>
            <w:r>
              <w:rPr>
                <w:rFonts w:cstheme="minorHAnsi"/>
                <w:color w:val="000000" w:themeColor="text1"/>
              </w:rPr>
              <w:br/>
            </w: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b/>
                <w:i/>
                <w:sz w:val="18"/>
                <w:szCs w:val="18"/>
              </w:rPr>
              <w:t>:</w:t>
            </w:r>
            <w:r w:rsidRPr="0057089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9782E">
              <w:rPr>
                <w:rFonts w:cstheme="minorHAnsi"/>
                <w:i/>
                <w:sz w:val="18"/>
                <w:szCs w:val="18"/>
              </w:rPr>
              <w:t>CITS2002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A059F9" w:rsidRDefault="00A059F9" w:rsidP="00073530">
            <w:pPr>
              <w:rPr>
                <w:rFonts w:cstheme="minorHAnsi"/>
                <w:color w:val="000000" w:themeColor="text1"/>
              </w:rPr>
            </w:pPr>
            <w:r w:rsidRPr="0019782E">
              <w:rPr>
                <w:rFonts w:cstheme="minorHAnsi"/>
                <w:color w:val="000000" w:themeColor="text1"/>
              </w:rPr>
              <w:t>CITS3403 Agile Web development (S1)</w:t>
            </w:r>
          </w:p>
          <w:p w:rsidR="00A059F9" w:rsidRPr="00570898" w:rsidRDefault="00A059F9" w:rsidP="0007353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898">
              <w:rPr>
                <w:rFonts w:cstheme="minorHAnsi"/>
                <w:b/>
                <w:i/>
                <w:sz w:val="18"/>
                <w:szCs w:val="18"/>
              </w:rPr>
              <w:t>Prereq</w:t>
            </w:r>
            <w:proofErr w:type="spellEnd"/>
            <w:r w:rsidRPr="00570898">
              <w:rPr>
                <w:rFonts w:cstheme="minorHAnsi"/>
                <w:i/>
                <w:sz w:val="18"/>
                <w:szCs w:val="18"/>
              </w:rPr>
              <w:t>:</w:t>
            </w:r>
            <w:r w:rsidRPr="00570898">
              <w:rPr>
                <w:b/>
                <w:i/>
                <w:color w:val="000000" w:themeColor="text1"/>
                <w:sz w:val="18"/>
                <w:szCs w:val="18"/>
                <w:lang w:eastAsia="en-AU"/>
              </w:rPr>
              <w:t xml:space="preserve"> </w:t>
            </w:r>
            <w:r w:rsidRPr="0019782E">
              <w:rPr>
                <w:i/>
                <w:sz w:val="18"/>
                <w:szCs w:val="18"/>
                <w:lang w:eastAsia="en-AU"/>
              </w:rPr>
              <w:t>CITS1001 or CITS2002</w:t>
            </w:r>
          </w:p>
        </w:tc>
      </w:tr>
    </w:tbl>
    <w:p w:rsidR="00A059F9" w:rsidRPr="006F6D74" w:rsidRDefault="00A059F9" w:rsidP="00A059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059F9" w:rsidRPr="006F6D74" w:rsidRDefault="00A059F9" w:rsidP="00A059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A059F9" w:rsidRDefault="00A059F9" w:rsidP="00A059F9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6F6D74">
        <w:rPr>
          <w:rFonts w:ascii="Arial" w:hAnsi="Arial" w:cs="Arial"/>
          <w:b/>
          <w:color w:val="000000" w:themeColor="text1"/>
          <w:sz w:val="20"/>
          <w:szCs w:val="20"/>
        </w:rPr>
        <w:t>Students not intending to progress into the Master of Professional Engineering may choose electives to the value of 30 pts in the BAR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(and which may be used to complete a minor)</w:t>
      </w:r>
    </w:p>
    <w:p w:rsidR="00A059F9" w:rsidRDefault="00A059F9" w:rsidP="00A059F9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C309C8" w:rsidRPr="00322F1B" w:rsidRDefault="00C309C8" w:rsidP="00322F1B">
      <w:pPr>
        <w:rPr>
          <w:b/>
          <w:sz w:val="28"/>
          <w:szCs w:val="28"/>
        </w:rPr>
      </w:pPr>
    </w:p>
    <w:sectPr w:rsidR="00C309C8" w:rsidRPr="00322F1B" w:rsidSect="00F97AC1">
      <w:headerReference w:type="default" r:id="rId8"/>
      <w:footerReference w:type="default" r:id="rId9"/>
      <w:pgSz w:w="16838" w:h="11906" w:orient="landscape"/>
      <w:pgMar w:top="851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3F" w:rsidRDefault="00A51B3F" w:rsidP="0059762C">
      <w:pPr>
        <w:spacing w:after="0" w:line="240" w:lineRule="auto"/>
      </w:pPr>
      <w:r>
        <w:separator/>
      </w:r>
    </w:p>
  </w:endnote>
  <w:endnote w:type="continuationSeparator" w:id="0">
    <w:p w:rsidR="00A51B3F" w:rsidRDefault="00A51B3F" w:rsidP="0059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C8" w:rsidRPr="00C309C8" w:rsidRDefault="0091260D">
    <w:pPr>
      <w:pStyle w:val="Footer"/>
      <w:rPr>
        <w:i/>
      </w:rPr>
    </w:pPr>
    <w:r>
      <w:rPr>
        <w:i/>
      </w:rPr>
      <w:t>V</w:t>
    </w:r>
    <w:r w:rsidR="00C309C8" w:rsidRPr="00C309C8">
      <w:rPr>
        <w:i/>
      </w:rPr>
      <w:t xml:space="preserve">ersion: </w:t>
    </w:r>
    <w:r>
      <w:rPr>
        <w:i/>
      </w:rPr>
      <w:t xml:space="preserve">28 Oct </w:t>
    </w:r>
    <w:r w:rsidR="00C309C8" w:rsidRPr="00C309C8">
      <w:rPr>
        <w:i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3F" w:rsidRDefault="00A51B3F" w:rsidP="0059762C">
      <w:pPr>
        <w:spacing w:after="0" w:line="240" w:lineRule="auto"/>
      </w:pPr>
      <w:r>
        <w:separator/>
      </w:r>
    </w:p>
  </w:footnote>
  <w:footnote w:type="continuationSeparator" w:id="0">
    <w:p w:rsidR="00A51B3F" w:rsidRDefault="00A51B3F" w:rsidP="0059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35A" w:rsidRDefault="00AD57C8" w:rsidP="002C3A08">
    <w:pPr>
      <w:spacing w:after="120" w:line="240" w:lineRule="auto"/>
      <w:jc w:val="center"/>
      <w:rPr>
        <w:b/>
        <w:i/>
        <w:sz w:val="28"/>
        <w:szCs w:val="28"/>
      </w:rPr>
    </w:pPr>
    <w:r w:rsidRPr="00C309C8">
      <w:rPr>
        <w:b/>
        <w:i/>
        <w:sz w:val="28"/>
        <w:szCs w:val="28"/>
      </w:rPr>
      <w:t xml:space="preserve">Bachelor of </w:t>
    </w:r>
    <w:r w:rsidR="007A2323" w:rsidRPr="00C309C8">
      <w:rPr>
        <w:b/>
        <w:i/>
        <w:sz w:val="28"/>
        <w:szCs w:val="28"/>
      </w:rPr>
      <w:t>Automation and Robotics</w:t>
    </w:r>
    <w:r w:rsidRPr="00C309C8">
      <w:rPr>
        <w:b/>
        <w:i/>
        <w:sz w:val="28"/>
        <w:szCs w:val="28"/>
      </w:rPr>
      <w:t xml:space="preserve"> </w:t>
    </w:r>
    <w:r w:rsidR="008D2467" w:rsidRPr="00C309C8">
      <w:rPr>
        <w:b/>
        <w:i/>
        <w:sz w:val="28"/>
        <w:szCs w:val="28"/>
      </w:rPr>
      <w:t xml:space="preserve">BP007 </w:t>
    </w:r>
  </w:p>
  <w:p w:rsidR="002C3A08" w:rsidRPr="00C309C8" w:rsidRDefault="00B5235A" w:rsidP="002C3A08">
    <w:pPr>
      <w:spacing w:after="120" w:line="240" w:lineRule="auto"/>
      <w:jc w:val="center"/>
      <w:rPr>
        <w:b/>
        <w:i/>
      </w:rPr>
    </w:pPr>
    <w:r>
      <w:rPr>
        <w:b/>
        <w:i/>
        <w:sz w:val="28"/>
        <w:szCs w:val="28"/>
      </w:rPr>
      <w:t xml:space="preserve">Course </w:t>
    </w:r>
    <w:r w:rsidR="00B13435">
      <w:rPr>
        <w:b/>
        <w:i/>
        <w:sz w:val="28"/>
        <w:szCs w:val="28"/>
      </w:rPr>
      <w:t>Study Plan</w:t>
    </w:r>
    <w:r w:rsidR="003F6876">
      <w:rPr>
        <w:b/>
        <w:i/>
        <w:sz w:val="28"/>
        <w:szCs w:val="28"/>
      </w:rPr>
      <w:t xml:space="preserve"> with Bridging Maths </w:t>
    </w:r>
    <w:r w:rsidR="006655BC">
      <w:rPr>
        <w:b/>
        <w:i/>
        <w:sz w:val="28"/>
        <w:szCs w:val="28"/>
      </w:rPr>
      <w:t>Specialist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A53"/>
    <w:multiLevelType w:val="hybridMultilevel"/>
    <w:tmpl w:val="F78EBFB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128B"/>
    <w:multiLevelType w:val="hybridMultilevel"/>
    <w:tmpl w:val="25DCCBC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62C7"/>
    <w:multiLevelType w:val="hybridMultilevel"/>
    <w:tmpl w:val="5BA097B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E6C"/>
    <w:multiLevelType w:val="hybridMultilevel"/>
    <w:tmpl w:val="D17E525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73EC3"/>
    <w:multiLevelType w:val="hybridMultilevel"/>
    <w:tmpl w:val="25602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A1F95"/>
    <w:multiLevelType w:val="hybridMultilevel"/>
    <w:tmpl w:val="992E28D2"/>
    <w:lvl w:ilvl="0" w:tplc="915040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34DFF"/>
    <w:multiLevelType w:val="hybridMultilevel"/>
    <w:tmpl w:val="BE6CBB48"/>
    <w:lvl w:ilvl="0" w:tplc="0F127A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90F0A"/>
    <w:multiLevelType w:val="hybridMultilevel"/>
    <w:tmpl w:val="43907F20"/>
    <w:lvl w:ilvl="0" w:tplc="7A0EE1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58"/>
    <w:rsid w:val="00016134"/>
    <w:rsid w:val="00027162"/>
    <w:rsid w:val="00031129"/>
    <w:rsid w:val="0006120E"/>
    <w:rsid w:val="00062002"/>
    <w:rsid w:val="000805E0"/>
    <w:rsid w:val="00082EEF"/>
    <w:rsid w:val="00092380"/>
    <w:rsid w:val="000A1A6C"/>
    <w:rsid w:val="000A2698"/>
    <w:rsid w:val="000A309E"/>
    <w:rsid w:val="000B03CB"/>
    <w:rsid w:val="000F3CD4"/>
    <w:rsid w:val="00110EC7"/>
    <w:rsid w:val="00116730"/>
    <w:rsid w:val="00123AB7"/>
    <w:rsid w:val="001322DD"/>
    <w:rsid w:val="00134929"/>
    <w:rsid w:val="00137807"/>
    <w:rsid w:val="001529A5"/>
    <w:rsid w:val="001548BF"/>
    <w:rsid w:val="0017032E"/>
    <w:rsid w:val="00172AD8"/>
    <w:rsid w:val="001909FC"/>
    <w:rsid w:val="001B6C46"/>
    <w:rsid w:val="001C28F0"/>
    <w:rsid w:val="001F0CA9"/>
    <w:rsid w:val="001F6E21"/>
    <w:rsid w:val="002003BC"/>
    <w:rsid w:val="00215319"/>
    <w:rsid w:val="00222C35"/>
    <w:rsid w:val="00223157"/>
    <w:rsid w:val="00226C07"/>
    <w:rsid w:val="00232B89"/>
    <w:rsid w:val="00240EB6"/>
    <w:rsid w:val="00273E73"/>
    <w:rsid w:val="0029764A"/>
    <w:rsid w:val="002C3A08"/>
    <w:rsid w:val="002E5214"/>
    <w:rsid w:val="002E78E5"/>
    <w:rsid w:val="00322F1B"/>
    <w:rsid w:val="00325A45"/>
    <w:rsid w:val="00332F77"/>
    <w:rsid w:val="0036545A"/>
    <w:rsid w:val="00374E7A"/>
    <w:rsid w:val="003777DB"/>
    <w:rsid w:val="00377FE4"/>
    <w:rsid w:val="003A6AE5"/>
    <w:rsid w:val="003C0485"/>
    <w:rsid w:val="003C1951"/>
    <w:rsid w:val="003D1B1C"/>
    <w:rsid w:val="003D38BE"/>
    <w:rsid w:val="003D4E61"/>
    <w:rsid w:val="003D7F7E"/>
    <w:rsid w:val="003E28A2"/>
    <w:rsid w:val="003F6876"/>
    <w:rsid w:val="004016B5"/>
    <w:rsid w:val="004061AF"/>
    <w:rsid w:val="00417FEA"/>
    <w:rsid w:val="00422B89"/>
    <w:rsid w:val="0042340F"/>
    <w:rsid w:val="004319AA"/>
    <w:rsid w:val="0043251F"/>
    <w:rsid w:val="00444814"/>
    <w:rsid w:val="00453475"/>
    <w:rsid w:val="0046550D"/>
    <w:rsid w:val="00497DF7"/>
    <w:rsid w:val="004C1FC9"/>
    <w:rsid w:val="004C58C3"/>
    <w:rsid w:val="004D2362"/>
    <w:rsid w:val="004E46BA"/>
    <w:rsid w:val="004E6346"/>
    <w:rsid w:val="004F4993"/>
    <w:rsid w:val="00500178"/>
    <w:rsid w:val="00520400"/>
    <w:rsid w:val="005275BD"/>
    <w:rsid w:val="00540F6E"/>
    <w:rsid w:val="00543553"/>
    <w:rsid w:val="00547E15"/>
    <w:rsid w:val="0056484E"/>
    <w:rsid w:val="00585221"/>
    <w:rsid w:val="00590C7E"/>
    <w:rsid w:val="0059762C"/>
    <w:rsid w:val="00597E94"/>
    <w:rsid w:val="005A4AE0"/>
    <w:rsid w:val="005B37D0"/>
    <w:rsid w:val="005B7F3F"/>
    <w:rsid w:val="005C2ACC"/>
    <w:rsid w:val="005F4057"/>
    <w:rsid w:val="006027F9"/>
    <w:rsid w:val="00606254"/>
    <w:rsid w:val="00644A7A"/>
    <w:rsid w:val="00650C36"/>
    <w:rsid w:val="0065377D"/>
    <w:rsid w:val="00663E06"/>
    <w:rsid w:val="006655BC"/>
    <w:rsid w:val="006759CA"/>
    <w:rsid w:val="006919C8"/>
    <w:rsid w:val="006C71A8"/>
    <w:rsid w:val="006E1890"/>
    <w:rsid w:val="006E1D31"/>
    <w:rsid w:val="006E27F0"/>
    <w:rsid w:val="006E5284"/>
    <w:rsid w:val="006E712B"/>
    <w:rsid w:val="00703482"/>
    <w:rsid w:val="007148CF"/>
    <w:rsid w:val="00731B63"/>
    <w:rsid w:val="0074271A"/>
    <w:rsid w:val="007507B1"/>
    <w:rsid w:val="00752037"/>
    <w:rsid w:val="00754771"/>
    <w:rsid w:val="00764901"/>
    <w:rsid w:val="00783945"/>
    <w:rsid w:val="007854D9"/>
    <w:rsid w:val="00793292"/>
    <w:rsid w:val="007935FE"/>
    <w:rsid w:val="007A2323"/>
    <w:rsid w:val="007B554C"/>
    <w:rsid w:val="007B5CE8"/>
    <w:rsid w:val="007E257E"/>
    <w:rsid w:val="00821177"/>
    <w:rsid w:val="0082201D"/>
    <w:rsid w:val="0082634A"/>
    <w:rsid w:val="00842B8F"/>
    <w:rsid w:val="008504C8"/>
    <w:rsid w:val="008512C0"/>
    <w:rsid w:val="00860394"/>
    <w:rsid w:val="00871E8F"/>
    <w:rsid w:val="00887BD5"/>
    <w:rsid w:val="00894439"/>
    <w:rsid w:val="008C768A"/>
    <w:rsid w:val="008D2467"/>
    <w:rsid w:val="008E4FF1"/>
    <w:rsid w:val="008E65F5"/>
    <w:rsid w:val="0091260D"/>
    <w:rsid w:val="00924133"/>
    <w:rsid w:val="00934959"/>
    <w:rsid w:val="00943851"/>
    <w:rsid w:val="00964A2D"/>
    <w:rsid w:val="00970BD1"/>
    <w:rsid w:val="00977687"/>
    <w:rsid w:val="00981500"/>
    <w:rsid w:val="00991196"/>
    <w:rsid w:val="00996028"/>
    <w:rsid w:val="009A451F"/>
    <w:rsid w:val="009B4D2B"/>
    <w:rsid w:val="009C61B8"/>
    <w:rsid w:val="009D00C7"/>
    <w:rsid w:val="009D6158"/>
    <w:rsid w:val="009E7F95"/>
    <w:rsid w:val="00A059F9"/>
    <w:rsid w:val="00A1011D"/>
    <w:rsid w:val="00A14B24"/>
    <w:rsid w:val="00A306FF"/>
    <w:rsid w:val="00A51B3F"/>
    <w:rsid w:val="00A66B4E"/>
    <w:rsid w:val="00AB44A1"/>
    <w:rsid w:val="00AC6A58"/>
    <w:rsid w:val="00AD57C8"/>
    <w:rsid w:val="00AE3EF4"/>
    <w:rsid w:val="00AE5FB9"/>
    <w:rsid w:val="00B0365C"/>
    <w:rsid w:val="00B038F4"/>
    <w:rsid w:val="00B100CC"/>
    <w:rsid w:val="00B10C69"/>
    <w:rsid w:val="00B11AFF"/>
    <w:rsid w:val="00B13435"/>
    <w:rsid w:val="00B31BAE"/>
    <w:rsid w:val="00B37FA1"/>
    <w:rsid w:val="00B4048A"/>
    <w:rsid w:val="00B47717"/>
    <w:rsid w:val="00B5235A"/>
    <w:rsid w:val="00B543DF"/>
    <w:rsid w:val="00B55A56"/>
    <w:rsid w:val="00B57B21"/>
    <w:rsid w:val="00B70870"/>
    <w:rsid w:val="00B71494"/>
    <w:rsid w:val="00B71FD0"/>
    <w:rsid w:val="00B74595"/>
    <w:rsid w:val="00B8417D"/>
    <w:rsid w:val="00B84DB2"/>
    <w:rsid w:val="00B910C4"/>
    <w:rsid w:val="00B96F54"/>
    <w:rsid w:val="00BA4734"/>
    <w:rsid w:val="00BB5BCB"/>
    <w:rsid w:val="00BC53B6"/>
    <w:rsid w:val="00BD647E"/>
    <w:rsid w:val="00BD77D4"/>
    <w:rsid w:val="00BE46C7"/>
    <w:rsid w:val="00BF348F"/>
    <w:rsid w:val="00BF63D0"/>
    <w:rsid w:val="00BF6CE7"/>
    <w:rsid w:val="00C026DE"/>
    <w:rsid w:val="00C0575A"/>
    <w:rsid w:val="00C108EE"/>
    <w:rsid w:val="00C16E87"/>
    <w:rsid w:val="00C210D0"/>
    <w:rsid w:val="00C309C8"/>
    <w:rsid w:val="00C42D72"/>
    <w:rsid w:val="00C439F6"/>
    <w:rsid w:val="00C44CE0"/>
    <w:rsid w:val="00C528AD"/>
    <w:rsid w:val="00C64903"/>
    <w:rsid w:val="00C71A0A"/>
    <w:rsid w:val="00C86998"/>
    <w:rsid w:val="00C90A2E"/>
    <w:rsid w:val="00CC50B4"/>
    <w:rsid w:val="00CE5BDD"/>
    <w:rsid w:val="00CE68B2"/>
    <w:rsid w:val="00CF681F"/>
    <w:rsid w:val="00D22646"/>
    <w:rsid w:val="00D319EB"/>
    <w:rsid w:val="00D36850"/>
    <w:rsid w:val="00D37F5C"/>
    <w:rsid w:val="00D4011B"/>
    <w:rsid w:val="00D42B11"/>
    <w:rsid w:val="00D6102D"/>
    <w:rsid w:val="00D7514B"/>
    <w:rsid w:val="00D82DE4"/>
    <w:rsid w:val="00D83045"/>
    <w:rsid w:val="00D97667"/>
    <w:rsid w:val="00DB2234"/>
    <w:rsid w:val="00DB27E8"/>
    <w:rsid w:val="00DC099B"/>
    <w:rsid w:val="00DC119C"/>
    <w:rsid w:val="00DC76E9"/>
    <w:rsid w:val="00DC7CC7"/>
    <w:rsid w:val="00DF21CA"/>
    <w:rsid w:val="00E27269"/>
    <w:rsid w:val="00E36304"/>
    <w:rsid w:val="00E46A40"/>
    <w:rsid w:val="00E71C17"/>
    <w:rsid w:val="00E80743"/>
    <w:rsid w:val="00E959C1"/>
    <w:rsid w:val="00EA7461"/>
    <w:rsid w:val="00EE48B4"/>
    <w:rsid w:val="00EE4E8C"/>
    <w:rsid w:val="00EE64B2"/>
    <w:rsid w:val="00F0238C"/>
    <w:rsid w:val="00F05798"/>
    <w:rsid w:val="00F31051"/>
    <w:rsid w:val="00F314B9"/>
    <w:rsid w:val="00F46048"/>
    <w:rsid w:val="00F4639B"/>
    <w:rsid w:val="00F5132F"/>
    <w:rsid w:val="00F57E77"/>
    <w:rsid w:val="00F75A0E"/>
    <w:rsid w:val="00F82C0A"/>
    <w:rsid w:val="00F868B6"/>
    <w:rsid w:val="00F91DD8"/>
    <w:rsid w:val="00F922A9"/>
    <w:rsid w:val="00F96390"/>
    <w:rsid w:val="00F97AC1"/>
    <w:rsid w:val="00F97F40"/>
    <w:rsid w:val="00FB3BB5"/>
    <w:rsid w:val="00FB4264"/>
    <w:rsid w:val="00FC2B8A"/>
    <w:rsid w:val="00FD71D7"/>
    <w:rsid w:val="00FE35C8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53B0F5B2"/>
  <w14:defaultImageDpi w14:val="96"/>
  <w15:docId w15:val="{182C2F0F-030D-4995-94AD-D3427349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26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2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26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2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97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2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A3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AF3F7-ABEB-4955-BB04-30501FD4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3629</Characters>
  <Application>Microsoft Office Word</Application>
  <DocSecurity>0</DocSecurity>
  <Lines>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Egan</dc:creator>
  <cp:lastModifiedBy>Hugh Halloran</cp:lastModifiedBy>
  <cp:revision>2</cp:revision>
  <cp:lastPrinted>2015-12-14T09:40:00Z</cp:lastPrinted>
  <dcterms:created xsi:type="dcterms:W3CDTF">2020-11-11T07:27:00Z</dcterms:created>
  <dcterms:modified xsi:type="dcterms:W3CDTF">2020-11-11T07:27:00Z</dcterms:modified>
</cp:coreProperties>
</file>